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1DF01" w14:textId="77777777" w:rsidR="00D40900" w:rsidRPr="00A66F18" w:rsidRDefault="00D40900" w:rsidP="00A66F18">
      <w:pPr>
        <w:jc w:val="center"/>
        <w:rPr>
          <w:b/>
          <w:iCs/>
        </w:rPr>
      </w:pPr>
      <w:r w:rsidRPr="00A66F18">
        <w:rPr>
          <w:b/>
          <w:iCs/>
        </w:rPr>
        <w:t>TEXTO DEFINITIVO APROBADO EN LA SESIÓN DE LA COMISIÓN TERCERA PERMANENTE DE HACIENDA Y CRÉDITO PÚBLICO</w:t>
      </w:r>
    </w:p>
    <w:p w14:paraId="2475109E" w14:textId="702DB75A" w:rsidR="00D40900" w:rsidRPr="00A66F18" w:rsidRDefault="00D40900" w:rsidP="00A66F18">
      <w:pPr>
        <w:jc w:val="center"/>
        <w:rPr>
          <w:b/>
          <w:iCs/>
        </w:rPr>
      </w:pPr>
      <w:r w:rsidRPr="00A66F18">
        <w:rPr>
          <w:b/>
          <w:iCs/>
        </w:rPr>
        <w:t>REALIZADA EL DÍA MIÉRCOLES 28 DE MAYO DE 2025</w:t>
      </w:r>
    </w:p>
    <w:p w14:paraId="35BBD3B1" w14:textId="018CEAC1" w:rsidR="00D40900" w:rsidRDefault="00D40900" w:rsidP="00A66F18">
      <w:pPr>
        <w:tabs>
          <w:tab w:val="left" w:pos="3119"/>
        </w:tabs>
        <w:jc w:val="both"/>
        <w:rPr>
          <w:b/>
          <w:sz w:val="22"/>
          <w:szCs w:val="22"/>
          <w:lang w:val="es-CO"/>
        </w:rPr>
      </w:pPr>
      <w:r w:rsidRPr="00A66F18">
        <w:rPr>
          <w:b/>
          <w:sz w:val="22"/>
          <w:szCs w:val="22"/>
          <w:lang w:val="es-CO"/>
        </w:rPr>
        <w:t xml:space="preserve"> </w:t>
      </w:r>
    </w:p>
    <w:p w14:paraId="1616A08B" w14:textId="77777777" w:rsidR="00A66F18" w:rsidRPr="00A66F18" w:rsidRDefault="00A66F18" w:rsidP="00A66F18">
      <w:pPr>
        <w:tabs>
          <w:tab w:val="left" w:pos="3119"/>
        </w:tabs>
        <w:jc w:val="both"/>
        <w:rPr>
          <w:b/>
          <w:sz w:val="22"/>
          <w:szCs w:val="22"/>
        </w:rPr>
      </w:pPr>
    </w:p>
    <w:p w14:paraId="5303DD67" w14:textId="77777777" w:rsidR="00A66F18" w:rsidRPr="00A66F18" w:rsidRDefault="00A66F18" w:rsidP="00A66F18">
      <w:pPr>
        <w:ind w:left="283" w:right="129"/>
        <w:jc w:val="center"/>
        <w:rPr>
          <w:i/>
          <w:sz w:val="22"/>
          <w:szCs w:val="22"/>
        </w:rPr>
      </w:pPr>
      <w:r w:rsidRPr="00A66F18">
        <w:rPr>
          <w:i/>
          <w:sz w:val="22"/>
          <w:szCs w:val="22"/>
        </w:rPr>
        <w:t>“</w:t>
      </w:r>
      <w:r w:rsidRPr="00A66F18">
        <w:rPr>
          <w:b/>
          <w:i/>
          <w:sz w:val="22"/>
          <w:szCs w:val="22"/>
        </w:rPr>
        <w:t>POR MEDIO DEL CUAL SE ESTABLECEN LINEAMIENTOS PARA EL SEGUIMIENTO Y VERIFICACIÓN DE LA ADOPCIÓN DE MECANISMOS DE PREVENCIÓN Y CONTROL DEL RIESGO DE LAVADO DE ACTIVOS Y FINANCIACIÓN DEL TERRORISMO POR PARTE DE LAS ENTIDADES DISTRITALES</w:t>
      </w:r>
      <w:r w:rsidRPr="00A66F18">
        <w:rPr>
          <w:i/>
          <w:sz w:val="22"/>
          <w:szCs w:val="22"/>
        </w:rPr>
        <w:t>”</w:t>
      </w:r>
    </w:p>
    <w:p w14:paraId="1584723E" w14:textId="77777777" w:rsidR="004B2B94" w:rsidRDefault="004B2B94" w:rsidP="004B2B94">
      <w:pPr>
        <w:pStyle w:val="Ttulo1"/>
        <w:ind w:right="1899"/>
        <w:rPr>
          <w:rFonts w:ascii="Arial" w:eastAsia="Arial" w:hAnsi="Arial" w:cs="Arial"/>
          <w:i/>
          <w:sz w:val="22"/>
          <w:szCs w:val="22"/>
        </w:rPr>
      </w:pPr>
      <w:bookmarkStart w:id="0" w:name="bookmark=id.a1of2cghumaj" w:colFirst="0" w:colLast="0"/>
      <w:bookmarkEnd w:id="0"/>
    </w:p>
    <w:p w14:paraId="471B616F" w14:textId="77777777" w:rsidR="004B2B94" w:rsidRDefault="004B2B94" w:rsidP="004B2B94"/>
    <w:p w14:paraId="0DF536AC" w14:textId="30D58D4B" w:rsidR="004B2B94" w:rsidRPr="000118B8" w:rsidRDefault="004B2B94" w:rsidP="004B2B94">
      <w:pPr>
        <w:jc w:val="center"/>
        <w:rPr>
          <w:b/>
        </w:rPr>
      </w:pPr>
      <w:r w:rsidRPr="000118B8">
        <w:rPr>
          <w:b/>
        </w:rPr>
        <w:t>EL CONCEJO DE BOGOTÁ</w:t>
      </w:r>
      <w:r w:rsidR="000118B8" w:rsidRPr="000118B8">
        <w:rPr>
          <w:b/>
        </w:rPr>
        <w:t xml:space="preserve"> D.C</w:t>
      </w:r>
      <w:r w:rsidRPr="000118B8">
        <w:rPr>
          <w:b/>
        </w:rPr>
        <w:t>,</w:t>
      </w:r>
    </w:p>
    <w:p w14:paraId="5B142C2E" w14:textId="77777777" w:rsidR="004B2B94" w:rsidRPr="004B2B94" w:rsidRDefault="004B2B94" w:rsidP="004B2B94">
      <w:pPr>
        <w:jc w:val="center"/>
      </w:pPr>
    </w:p>
    <w:p w14:paraId="7B3AE4BD" w14:textId="6B527373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120" w:right="67"/>
        <w:jc w:val="center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En ejercicio de sus facultades constitucionales y legales, en especial las conferidas por el artículo 12 numeral</w:t>
      </w:r>
      <w:r w:rsidR="004B2B94">
        <w:rPr>
          <w:color w:val="000000"/>
          <w:sz w:val="22"/>
          <w:szCs w:val="22"/>
        </w:rPr>
        <w:t xml:space="preserve"> 1 del Decreto Ley 1421 de 1993,</w:t>
      </w:r>
    </w:p>
    <w:p w14:paraId="1D662DE8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237AFAFD" w14:textId="77777777" w:rsidR="00A66F18" w:rsidRPr="000118B8" w:rsidRDefault="00A66F18" w:rsidP="00A66F18">
      <w:pPr>
        <w:pStyle w:val="Ttulo1"/>
        <w:ind w:left="131" w:right="67"/>
        <w:rPr>
          <w:rFonts w:ascii="Arial" w:hAnsi="Arial" w:cs="Arial"/>
          <w:b/>
          <w:sz w:val="22"/>
          <w:szCs w:val="22"/>
        </w:rPr>
      </w:pPr>
      <w:bookmarkStart w:id="1" w:name="bookmark=id.ik7kjhyd7n6c" w:colFirst="0" w:colLast="0"/>
      <w:bookmarkEnd w:id="1"/>
      <w:r w:rsidRPr="000118B8">
        <w:rPr>
          <w:rFonts w:ascii="Arial" w:hAnsi="Arial" w:cs="Arial"/>
          <w:b/>
          <w:sz w:val="22"/>
          <w:szCs w:val="22"/>
        </w:rPr>
        <w:t>CONSIDERANDO:</w:t>
      </w:r>
    </w:p>
    <w:p w14:paraId="3FFB82DE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2ED85903" w14:textId="295E09AF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16" w:hanging="1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Que mediante Documento CONPES D.C.</w:t>
      </w:r>
      <w:r>
        <w:rPr>
          <w:color w:val="000000"/>
          <w:sz w:val="22"/>
          <w:szCs w:val="22"/>
        </w:rPr>
        <w:t xml:space="preserve"> del 01 de</w:t>
      </w:r>
      <w:r w:rsidRPr="00A66F18">
        <w:rPr>
          <w:color w:val="000000"/>
          <w:sz w:val="22"/>
          <w:szCs w:val="22"/>
        </w:rPr>
        <w:t xml:space="preserve"> 6 de febrero de 2019, se adoptó en el Distrito la Política Pública Distrital de Transparencia, Integridad y No Tolerancia con la Corrupción.</w:t>
      </w:r>
    </w:p>
    <w:p w14:paraId="5DB52877" w14:textId="77777777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2" w:hanging="10"/>
        <w:jc w:val="both"/>
        <w:rPr>
          <w:color w:val="000000"/>
          <w:sz w:val="22"/>
          <w:szCs w:val="22"/>
        </w:rPr>
      </w:pPr>
    </w:p>
    <w:p w14:paraId="3CDBA42D" w14:textId="1B2CD876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2" w:hanging="1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Que mediante Documento CONPE</w:t>
      </w:r>
      <w:r>
        <w:rPr>
          <w:color w:val="000000"/>
          <w:sz w:val="22"/>
          <w:szCs w:val="22"/>
        </w:rPr>
        <w:t xml:space="preserve">S 4042 del 9 de agosto de 2021, </w:t>
      </w:r>
      <w:r w:rsidRPr="00A66F18">
        <w:rPr>
          <w:color w:val="000000"/>
          <w:sz w:val="22"/>
          <w:szCs w:val="22"/>
        </w:rPr>
        <w:t>el Gobierno Nacional implementó la Política Nacional Anti Lavado de Activos, Contra la Financiación del Terrorismo y Contra la Financiación de la Proliferación de Armas de Destrucción Masiva.</w:t>
      </w:r>
    </w:p>
    <w:p w14:paraId="2CA302D5" w14:textId="77777777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color w:val="000000"/>
          <w:sz w:val="22"/>
          <w:szCs w:val="22"/>
        </w:rPr>
      </w:pPr>
    </w:p>
    <w:p w14:paraId="27A5CF76" w14:textId="6C7D252A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sz w:val="22"/>
          <w:szCs w:val="22"/>
        </w:rPr>
      </w:pPr>
      <w:r w:rsidRPr="00A66F18">
        <w:rPr>
          <w:color w:val="000000"/>
          <w:sz w:val="22"/>
          <w:szCs w:val="22"/>
        </w:rPr>
        <w:t>Que el Congreso de la República expidió la siguiente normatividad relacionada, Ley</w:t>
      </w:r>
      <w:r>
        <w:rPr>
          <w:color w:val="000000"/>
          <w:sz w:val="22"/>
          <w:szCs w:val="22"/>
        </w:rPr>
        <w:t xml:space="preserve"> </w:t>
      </w:r>
      <w:r w:rsidRPr="00A66F18">
        <w:rPr>
          <w:sz w:val="22"/>
          <w:szCs w:val="22"/>
        </w:rPr>
        <w:t xml:space="preserve">526 de 1999 </w:t>
      </w:r>
      <w:r w:rsidRPr="00A66F18">
        <w:rPr>
          <w:i/>
          <w:sz w:val="22"/>
          <w:szCs w:val="22"/>
        </w:rPr>
        <w:t>“Por medio de la cual se crea la unidad de información y análisis financiero.”</w:t>
      </w:r>
      <w:r w:rsidRPr="00A66F18">
        <w:rPr>
          <w:sz w:val="22"/>
          <w:szCs w:val="22"/>
        </w:rPr>
        <w:t>, Ley 1121 de 2006 “</w:t>
      </w:r>
      <w:r w:rsidRPr="004B2B94">
        <w:rPr>
          <w:i/>
          <w:sz w:val="22"/>
          <w:szCs w:val="22"/>
        </w:rPr>
        <w:t>Por la cual se dictan normas para la prevención, detección, investigación y sanción de la financiación del terrorismo y otras disposiciones</w:t>
      </w:r>
      <w:r w:rsidRPr="00A66F18">
        <w:rPr>
          <w:sz w:val="22"/>
          <w:szCs w:val="22"/>
        </w:rPr>
        <w:t xml:space="preserve">”, Ley Estatutaria 1581 de 2012 </w:t>
      </w:r>
      <w:r>
        <w:rPr>
          <w:sz w:val="22"/>
          <w:szCs w:val="22"/>
        </w:rPr>
        <w:t>“</w:t>
      </w:r>
      <w:r w:rsidRPr="004B2B94">
        <w:rPr>
          <w:i/>
          <w:sz w:val="22"/>
          <w:szCs w:val="22"/>
        </w:rPr>
        <w:t>Por la cual se dictan disposiciones generales para la protección de datos personales</w:t>
      </w:r>
      <w:r>
        <w:rPr>
          <w:sz w:val="22"/>
          <w:szCs w:val="22"/>
        </w:rPr>
        <w:t>”</w:t>
      </w:r>
      <w:r w:rsidRPr="00A66F18">
        <w:rPr>
          <w:sz w:val="22"/>
          <w:szCs w:val="22"/>
        </w:rPr>
        <w:t xml:space="preserve">, Ley 1474 de 2011 </w:t>
      </w:r>
      <w:r>
        <w:rPr>
          <w:sz w:val="22"/>
          <w:szCs w:val="22"/>
        </w:rPr>
        <w:t>“</w:t>
      </w:r>
      <w:r w:rsidRPr="00A66F18">
        <w:rPr>
          <w:i/>
          <w:sz w:val="22"/>
          <w:szCs w:val="22"/>
        </w:rPr>
        <w:t>Por la cual se dictan normas orientadas a fortalecer los mecanismos de prevención, investigación y sanción de actos de corrupción y la efectividad de</w:t>
      </w:r>
      <w:r>
        <w:rPr>
          <w:i/>
          <w:sz w:val="22"/>
          <w:szCs w:val="22"/>
        </w:rPr>
        <w:t>l control de la gestión pública</w:t>
      </w:r>
      <w:r w:rsidRPr="00A66F18">
        <w:rPr>
          <w:i/>
          <w:sz w:val="22"/>
          <w:szCs w:val="22"/>
        </w:rPr>
        <w:t>"</w:t>
      </w:r>
      <w:r>
        <w:rPr>
          <w:sz w:val="22"/>
          <w:szCs w:val="22"/>
        </w:rPr>
        <w:t>, Ley 2195 de 2022 “</w:t>
      </w:r>
      <w:r w:rsidRPr="004B2B94">
        <w:rPr>
          <w:i/>
          <w:sz w:val="22"/>
          <w:szCs w:val="22"/>
        </w:rPr>
        <w:t>P</w:t>
      </w:r>
      <w:r w:rsidRPr="004B2B94">
        <w:rPr>
          <w:i/>
          <w:sz w:val="22"/>
          <w:szCs w:val="22"/>
        </w:rPr>
        <w:t>or medio de la cual se adoptan medidas en materia de transparencia, prevención y lucha contra la corrupción y se dictan otras disposiciones</w:t>
      </w:r>
      <w:r w:rsidRPr="00A66F18">
        <w:rPr>
          <w:sz w:val="22"/>
          <w:szCs w:val="22"/>
        </w:rPr>
        <w:t>”</w:t>
      </w:r>
    </w:p>
    <w:p w14:paraId="1F14BB55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79638112" w14:textId="04E5A8B6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3" w:hanging="10"/>
        <w:jc w:val="both"/>
        <w:rPr>
          <w:color w:val="000000"/>
          <w:sz w:val="22"/>
          <w:szCs w:val="22"/>
        </w:rPr>
        <w:sectPr w:rsidR="00A66F18" w:rsidRPr="00A66F18">
          <w:pgSz w:w="12250" w:h="15850"/>
          <w:pgMar w:top="2520" w:right="1559" w:bottom="280" w:left="1417" w:header="1136" w:footer="0" w:gutter="0"/>
          <w:pgNumType w:start="1"/>
          <w:cols w:space="720"/>
        </w:sectPr>
      </w:pPr>
      <w:r w:rsidRPr="00A66F18">
        <w:rPr>
          <w:color w:val="000000"/>
          <w:sz w:val="22"/>
          <w:szCs w:val="22"/>
        </w:rPr>
        <w:t>Que atendiendo las funciones generales señaladas en el artículo 8 del Decreto Ley 1421 de 1993, le corresponde a este Concejo, como suprema aut</w:t>
      </w:r>
      <w:r w:rsidR="004B2B94">
        <w:rPr>
          <w:color w:val="000000"/>
          <w:sz w:val="22"/>
          <w:szCs w:val="22"/>
        </w:rPr>
        <w:t xml:space="preserve">oridad del Distrito Capital, </w:t>
      </w:r>
      <w:r w:rsidRPr="00A66F18">
        <w:rPr>
          <w:color w:val="000000"/>
          <w:sz w:val="22"/>
          <w:szCs w:val="22"/>
        </w:rPr>
        <w:t>vigilar y controlar la gestión que cumplan las autoridades distritales.</w:t>
      </w:r>
    </w:p>
    <w:p w14:paraId="795B7D88" w14:textId="77777777" w:rsidR="00A66F18" w:rsidRPr="000118B8" w:rsidRDefault="00A66F18" w:rsidP="00A66F18">
      <w:pPr>
        <w:pStyle w:val="Ttulo1"/>
        <w:ind w:left="151" w:right="75"/>
        <w:rPr>
          <w:rFonts w:ascii="Arial" w:hAnsi="Arial" w:cs="Arial"/>
          <w:b/>
          <w:sz w:val="22"/>
          <w:szCs w:val="22"/>
        </w:rPr>
      </w:pPr>
      <w:bookmarkStart w:id="2" w:name="bookmark=id.vzss2zm2dy62" w:colFirst="0" w:colLast="0"/>
      <w:bookmarkEnd w:id="2"/>
      <w:r w:rsidRPr="000118B8">
        <w:rPr>
          <w:rFonts w:ascii="Arial" w:hAnsi="Arial" w:cs="Arial"/>
          <w:b/>
          <w:sz w:val="22"/>
          <w:szCs w:val="22"/>
        </w:rPr>
        <w:lastRenderedPageBreak/>
        <w:t>ACUERDA:</w:t>
      </w:r>
    </w:p>
    <w:p w14:paraId="45EBBD1F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7FC32BB2" w14:textId="7985F9DF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0"/>
        <w:jc w:val="both"/>
        <w:rPr>
          <w:color w:val="000000"/>
          <w:sz w:val="22"/>
          <w:szCs w:val="22"/>
        </w:rPr>
      </w:pPr>
      <w:r w:rsidRPr="00A66F18">
        <w:rPr>
          <w:b/>
          <w:color w:val="000000"/>
          <w:sz w:val="22"/>
          <w:szCs w:val="22"/>
        </w:rPr>
        <w:t>ARTÍCULO 1. OBJETO</w:t>
      </w:r>
      <w:r w:rsidRPr="00A66F18">
        <w:rPr>
          <w:color w:val="000000"/>
          <w:sz w:val="22"/>
          <w:szCs w:val="22"/>
        </w:rPr>
        <w:t>. Establecer los lineamientos para la realización del seguimiento a las Entidades Distritales para verificar la implementación de las medidas de prevención y administración del riesgo de Lavado de Activos (LA) y la Financiación del Terrorismo (FT) establecidas en el marco jurídico.</w:t>
      </w:r>
    </w:p>
    <w:p w14:paraId="23CFE337" w14:textId="77777777" w:rsidR="004B2B94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0"/>
        <w:jc w:val="both"/>
        <w:rPr>
          <w:color w:val="000000"/>
          <w:sz w:val="22"/>
          <w:szCs w:val="22"/>
        </w:rPr>
      </w:pPr>
      <w:bookmarkStart w:id="3" w:name="_GoBack"/>
      <w:bookmarkEnd w:id="3"/>
    </w:p>
    <w:p w14:paraId="55441630" w14:textId="79F1C866" w:rsidR="00A66F18" w:rsidRPr="00A66F18" w:rsidRDefault="004B2B94" w:rsidP="004B2B94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 xml:space="preserve">CULO 2. </w:t>
      </w:r>
      <w:r w:rsidR="00A66F18" w:rsidRPr="00A66F18">
        <w:rPr>
          <w:color w:val="000000"/>
          <w:sz w:val="22"/>
          <w:szCs w:val="22"/>
        </w:rPr>
        <w:t>Las Entidades Distritales presentarán al Concejo de Bogotá, cada doce</w:t>
      </w:r>
      <w:r>
        <w:rPr>
          <w:color w:val="000000"/>
          <w:sz w:val="22"/>
          <w:szCs w:val="22"/>
        </w:rPr>
        <w:t xml:space="preserve"> </w:t>
      </w:r>
      <w:r w:rsidR="00A66F18" w:rsidRPr="00A66F18">
        <w:rPr>
          <w:color w:val="000000"/>
          <w:sz w:val="22"/>
          <w:szCs w:val="22"/>
        </w:rPr>
        <w:t>(12) meses, un informe que contenga las acciones adoptadas para la prevención y administración del riesgo de Lavado de Activos (LA) y la Financiación del Terrorismo (FT), indicando especialmente los siguientes puntos:</w:t>
      </w:r>
    </w:p>
    <w:p w14:paraId="30141DA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EC2974B" w14:textId="794C6A8D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1 - Mecanismos para realizar la debida diligencia de las contrapartes en relación con la prevención y administración del riesgo de Lavado de Activos y Financiación del Terrorismo.</w:t>
      </w:r>
    </w:p>
    <w:p w14:paraId="03A09E8F" w14:textId="77777777" w:rsidR="004B2B94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</w:p>
    <w:p w14:paraId="5A32C2E1" w14:textId="77777777" w:rsidR="00A66F18" w:rsidRPr="00A66F18" w:rsidRDefault="00A66F18" w:rsidP="00A66F1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1"/>
        </w:tabs>
        <w:ind w:right="16" w:firstLine="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Actividades pedagógicas, de socialización, formación y/o capacitación, dirigidas a las y los servidores públicos, de acuerdo con el esquema de gobernanza de cada entidad y articuladas al Plan Institucional de Capacitación, para fortalecer las capacidades en relación con la integridad y la transparencia, incluyendo la gestión integral de riesgos, y específicamente la prevención y administración del riesgo de Lavado de Activos y Financiación del Terrorismo.</w:t>
      </w:r>
    </w:p>
    <w:p w14:paraId="686B1923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6FB04707" w14:textId="77777777" w:rsidR="00A66F18" w:rsidRPr="00A66F18" w:rsidRDefault="00A66F18" w:rsidP="00A66F1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42"/>
        </w:tabs>
        <w:ind w:right="15" w:firstLine="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Implementación, adaptación y/o adopción de mejores prácticas nacionales e internacionales, en cumplimiento de las recomendaciones de las organizaciones multilaterales líderes en la prevención y administración del riesgo del Lavado de Activos y Financiación del Terrorismo.</w:t>
      </w:r>
    </w:p>
    <w:p w14:paraId="58A1C64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140CA57" w14:textId="1F7449BE" w:rsidR="00A66F18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>CULO 3</w:t>
      </w:r>
      <w:r w:rsidR="00A66F18" w:rsidRPr="00A66F18">
        <w:rPr>
          <w:color w:val="000000"/>
          <w:sz w:val="22"/>
          <w:szCs w:val="22"/>
        </w:rPr>
        <w:t>. La Administración Distrital, a través de la Secretaría General, realizará un análisis sobre la viabilidad para crear un Comité Distrital de Prevención del riesgo de Lavado de Activos y la Financiación del Terrorismo que tenga como función hacer el seguimiento periódico y verificar el cumplimiento de las medidas establecidas en este Acuerdo, en el marco del Sistema de Coordinación Distrital y en articulación con la red distrital de oficiales de cumplimiento.</w:t>
      </w:r>
    </w:p>
    <w:p w14:paraId="3D9F540E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7D7E60F" w14:textId="3D010B55" w:rsid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 xml:space="preserve">CULO 4. </w:t>
      </w:r>
      <w:r w:rsidR="00A66F18" w:rsidRPr="00A66F18">
        <w:rPr>
          <w:color w:val="000000"/>
          <w:sz w:val="22"/>
          <w:szCs w:val="22"/>
        </w:rPr>
        <w:t>La Administración Distrital, promoverá incentivos no económicos que fomenten el desarrollo e implementación de buenas prácticas frente a la prevención de riesgos asociados al Lavado de Activos y la Financiación del Terrorismo, así como la realización de alianzas estratégicas para promover la transparencia y lucha contra la corrupción, y el fomento de la denuncia, y los articulará con los esquemas y mecanismos de reconocimientos y estímulos existentes.</w:t>
      </w:r>
    </w:p>
    <w:p w14:paraId="1B82BCAD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</w:p>
    <w:p w14:paraId="10A1BE5F" w14:textId="77777777" w:rsidR="00A66F18" w:rsidRPr="00A66F18" w:rsidRDefault="00A66F18" w:rsidP="00A66F18">
      <w:pPr>
        <w:ind w:left="83"/>
        <w:rPr>
          <w:sz w:val="22"/>
          <w:szCs w:val="22"/>
        </w:rPr>
      </w:pPr>
      <w:r w:rsidRPr="00A66F18">
        <w:rPr>
          <w:b/>
          <w:sz w:val="22"/>
          <w:szCs w:val="22"/>
        </w:rPr>
        <w:t>ARTÍCULO 5. VIGENCIA</w:t>
      </w:r>
      <w:r w:rsidRPr="00A66F18">
        <w:rPr>
          <w:sz w:val="22"/>
          <w:szCs w:val="22"/>
        </w:rPr>
        <w:t>. El presente Acuerdo rige a partir de la fecha de su publicación.</w:t>
      </w:r>
    </w:p>
    <w:p w14:paraId="2810EBB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2C2FEE4D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7EE026CF" w14:textId="77777777" w:rsidR="00B5448B" w:rsidRPr="00A66F18" w:rsidRDefault="00B5448B" w:rsidP="00A66F18">
      <w:pPr>
        <w:ind w:left="134" w:right="150"/>
        <w:jc w:val="center"/>
        <w:rPr>
          <w:b/>
          <w:spacing w:val="-2"/>
          <w:sz w:val="22"/>
          <w:szCs w:val="22"/>
        </w:rPr>
      </w:pPr>
      <w:bookmarkStart w:id="4" w:name="bookmark=id.8zwcw5lx59nv" w:colFirst="0" w:colLast="0"/>
      <w:bookmarkEnd w:id="4"/>
      <w:r w:rsidRPr="00A66F18">
        <w:rPr>
          <w:b/>
          <w:sz w:val="22"/>
          <w:szCs w:val="22"/>
        </w:rPr>
        <w:t>PUBLÍQUESE</w:t>
      </w:r>
      <w:r w:rsidRPr="00A66F18">
        <w:rPr>
          <w:b/>
          <w:spacing w:val="-4"/>
          <w:sz w:val="22"/>
          <w:szCs w:val="22"/>
        </w:rPr>
        <w:t xml:space="preserve"> </w:t>
      </w:r>
      <w:r w:rsidRPr="00A66F18">
        <w:rPr>
          <w:b/>
          <w:sz w:val="22"/>
          <w:szCs w:val="22"/>
        </w:rPr>
        <w:t>Y</w:t>
      </w:r>
      <w:r w:rsidRPr="00A66F18">
        <w:rPr>
          <w:b/>
          <w:spacing w:val="-4"/>
          <w:sz w:val="22"/>
          <w:szCs w:val="22"/>
        </w:rPr>
        <w:t xml:space="preserve"> </w:t>
      </w:r>
      <w:r w:rsidRPr="00A66F18">
        <w:rPr>
          <w:b/>
          <w:spacing w:val="-2"/>
          <w:sz w:val="22"/>
          <w:szCs w:val="22"/>
        </w:rPr>
        <w:t>CÚMPLASE</w:t>
      </w:r>
    </w:p>
    <w:p w14:paraId="1CE639F6" w14:textId="77777777" w:rsidR="004D0443" w:rsidRPr="00A66F18" w:rsidRDefault="004D0443" w:rsidP="00A66F18">
      <w:pPr>
        <w:jc w:val="center"/>
        <w:rPr>
          <w:rFonts w:eastAsia="Times New Roman"/>
          <w:b/>
          <w:sz w:val="22"/>
          <w:szCs w:val="22"/>
        </w:rPr>
      </w:pPr>
    </w:p>
    <w:sectPr w:rsidR="004D0443" w:rsidRPr="00A66F18" w:rsidSect="00B5448B">
      <w:headerReference w:type="default" r:id="rId8"/>
      <w:footerReference w:type="even" r:id="rId9"/>
      <w:footerReference w:type="default" r:id="rId10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3BC42" w14:textId="77777777" w:rsidR="00D36933" w:rsidRDefault="00D36933">
      <w:r>
        <w:separator/>
      </w:r>
    </w:p>
  </w:endnote>
  <w:endnote w:type="continuationSeparator" w:id="0">
    <w:p w14:paraId="6C15DCE7" w14:textId="77777777" w:rsidR="00D36933" w:rsidRDefault="00D3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0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1CE63A32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3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67B95" w14:textId="77777777" w:rsidR="00D36933" w:rsidRDefault="00D36933">
      <w:r>
        <w:separator/>
      </w:r>
    </w:p>
  </w:footnote>
  <w:footnote w:type="continuationSeparator" w:id="0">
    <w:p w14:paraId="6AF0C68B" w14:textId="77777777" w:rsidR="00D36933" w:rsidRDefault="00D3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C" w14:textId="70C252E2" w:rsidR="004D0443" w:rsidRDefault="004D0443" w:rsidP="00B5448B">
    <w:pPr>
      <w:pStyle w:val="Encabezado"/>
    </w:pPr>
  </w:p>
  <w:p w14:paraId="69F29532" w14:textId="77777777" w:rsidR="00B5448B" w:rsidRPr="00B5448B" w:rsidRDefault="00B5448B" w:rsidP="00B544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6050B"/>
    <w:multiLevelType w:val="multilevel"/>
    <w:tmpl w:val="2FBCBEEA"/>
    <w:lvl w:ilvl="0">
      <w:start w:val="2"/>
      <w:numFmt w:val="decimal"/>
      <w:lvlText w:val="%1-"/>
      <w:lvlJc w:val="left"/>
      <w:pPr>
        <w:ind w:left="83" w:hanging="301"/>
      </w:pPr>
      <w:rPr>
        <w:rFonts w:ascii="Arial" w:eastAsia="Arial" w:hAnsi="Arial" w:cs="Arial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999" w:hanging="300"/>
      </w:pPr>
    </w:lvl>
    <w:lvl w:ilvl="2">
      <w:numFmt w:val="bullet"/>
      <w:lvlText w:val="•"/>
      <w:lvlJc w:val="left"/>
      <w:pPr>
        <w:ind w:left="1918" w:hanging="300"/>
      </w:pPr>
    </w:lvl>
    <w:lvl w:ilvl="3">
      <w:numFmt w:val="bullet"/>
      <w:lvlText w:val="•"/>
      <w:lvlJc w:val="left"/>
      <w:pPr>
        <w:ind w:left="2838" w:hanging="301"/>
      </w:pPr>
    </w:lvl>
    <w:lvl w:ilvl="4">
      <w:numFmt w:val="bullet"/>
      <w:lvlText w:val="•"/>
      <w:lvlJc w:val="left"/>
      <w:pPr>
        <w:ind w:left="3757" w:hanging="301"/>
      </w:pPr>
    </w:lvl>
    <w:lvl w:ilvl="5">
      <w:numFmt w:val="bullet"/>
      <w:lvlText w:val="•"/>
      <w:lvlJc w:val="left"/>
      <w:pPr>
        <w:ind w:left="4677" w:hanging="301"/>
      </w:pPr>
    </w:lvl>
    <w:lvl w:ilvl="6">
      <w:numFmt w:val="bullet"/>
      <w:lvlText w:val="•"/>
      <w:lvlJc w:val="left"/>
      <w:pPr>
        <w:ind w:left="5596" w:hanging="301"/>
      </w:pPr>
    </w:lvl>
    <w:lvl w:ilvl="7">
      <w:numFmt w:val="bullet"/>
      <w:lvlText w:val="•"/>
      <w:lvlJc w:val="left"/>
      <w:pPr>
        <w:ind w:left="6515" w:hanging="301"/>
      </w:pPr>
    </w:lvl>
    <w:lvl w:ilvl="8">
      <w:numFmt w:val="bullet"/>
      <w:lvlText w:val="•"/>
      <w:lvlJc w:val="left"/>
      <w:pPr>
        <w:ind w:left="7435" w:hanging="301"/>
      </w:pPr>
    </w:lvl>
  </w:abstractNum>
  <w:abstractNum w:abstractNumId="1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43"/>
    <w:rsid w:val="000118B8"/>
    <w:rsid w:val="0009008E"/>
    <w:rsid w:val="003E1864"/>
    <w:rsid w:val="00486FEF"/>
    <w:rsid w:val="004B2B94"/>
    <w:rsid w:val="004D0443"/>
    <w:rsid w:val="005D1EBD"/>
    <w:rsid w:val="00635C07"/>
    <w:rsid w:val="00795DEE"/>
    <w:rsid w:val="009C472A"/>
    <w:rsid w:val="00A66F18"/>
    <w:rsid w:val="00AB591A"/>
    <w:rsid w:val="00B5448B"/>
    <w:rsid w:val="00D36933"/>
    <w:rsid w:val="00D40900"/>
    <w:rsid w:val="00DA3067"/>
    <w:rsid w:val="00DE0C0D"/>
    <w:rsid w:val="00E01BF5"/>
    <w:rsid w:val="00EB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717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ALEXANDER MARTINEZ LOPEZ</dc:creator>
  <cp:lastModifiedBy>MARIA CONSUELO CARRION CAMELO</cp:lastModifiedBy>
  <cp:revision>11</cp:revision>
  <dcterms:created xsi:type="dcterms:W3CDTF">2024-12-11T16:28:00Z</dcterms:created>
  <dcterms:modified xsi:type="dcterms:W3CDTF">2025-05-29T01:02:00Z</dcterms:modified>
</cp:coreProperties>
</file>